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3540C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 xml:space="preserve">Учебный предмет «Физическая культура» должен изучаться на </w:t>
            </w:r>
            <w:proofErr w:type="spellStart"/>
            <w:r w:rsidRPr="003540C6">
              <w:rPr>
                <w:rFonts w:ascii="Times New Roman" w:hAnsi="Times New Roman"/>
                <w:sz w:val="24"/>
              </w:rPr>
              <w:t>межпредметной</w:t>
            </w:r>
            <w:proofErr w:type="spellEnd"/>
            <w:r w:rsidRPr="003540C6">
              <w:rPr>
                <w:rFonts w:ascii="Times New Roman" w:hAnsi="Times New Roman"/>
                <w:sz w:val="24"/>
              </w:rPr>
              <w:t xml:space="preserve"> основе практически со всеми предметными областями среднего общего образования.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13</cp:revision>
  <dcterms:created xsi:type="dcterms:W3CDTF">2022-08-23T20:52:00Z</dcterms:created>
  <dcterms:modified xsi:type="dcterms:W3CDTF">2022-09-07T13:13:00Z</dcterms:modified>
</cp:coreProperties>
</file>